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106CA" w14:textId="3AE156CC" w:rsidR="006A35EE" w:rsidRPr="007C607F" w:rsidRDefault="00B322E3" w:rsidP="004B5ECA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bookmarkStart w:id="0" w:name="_Hlk47375555"/>
      <w:r w:rsidRPr="00B322E3">
        <w:rPr>
          <w:rFonts w:ascii="Times New Roman" w:hAnsi="Times New Roman" w:cs="Times New Roman"/>
          <w:b/>
          <w:noProof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71CBB5B6" wp14:editId="1C40FDFB">
                <wp:simplePos x="0" y="0"/>
                <wp:positionH relativeFrom="page">
                  <wp:posOffset>6873240</wp:posOffset>
                </wp:positionH>
                <wp:positionV relativeFrom="page">
                  <wp:posOffset>1165860</wp:posOffset>
                </wp:positionV>
                <wp:extent cx="1211580" cy="304800"/>
                <wp:effectExtent l="0" t="0" r="0" b="0"/>
                <wp:wrapTight wrapText="bothSides">
                  <wp:wrapPolygon edited="0">
                    <wp:start x="1019" y="0"/>
                    <wp:lineTo x="1019" y="20250"/>
                    <wp:lineTo x="20377" y="20250"/>
                    <wp:lineTo x="20377" y="0"/>
                    <wp:lineTo x="1019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46FCA" w14:textId="0CBB364D" w:rsidR="00B322E3" w:rsidRPr="00323CB4" w:rsidRDefault="00B322E3" w:rsidP="00B322E3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23CB4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Pixabay</w:t>
                            </w:r>
                            <w:r w:rsidRPr="00323CB4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B5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1.2pt;margin-top:91.8pt;width:95.4pt;height:2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" filled="f" stroked="f">
                <v:textbox>
                  <w:txbxContent>
                    <w:p w14:paraId="32246FCA" w14:textId="0CBB364D" w:rsidR="00B322E3" w:rsidRPr="00323CB4" w:rsidRDefault="00B322E3" w:rsidP="00B322E3">
                      <w:pP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323CB4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Pixabay</w:t>
                      </w:r>
                      <w:r w:rsidRPr="00323CB4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36A6F762" wp14:editId="3C7D68A6">
            <wp:simplePos x="0" y="0"/>
            <wp:positionH relativeFrom="page">
              <wp:align>right</wp:align>
            </wp:positionH>
            <wp:positionV relativeFrom="paragraph">
              <wp:posOffset>495300</wp:posOffset>
            </wp:positionV>
            <wp:extent cx="3726180" cy="2404110"/>
            <wp:effectExtent l="0" t="0" r="7620" b="0"/>
            <wp:wrapTight wrapText="bothSides">
              <wp:wrapPolygon edited="0">
                <wp:start x="0" y="0"/>
                <wp:lineTo x="0" y="21395"/>
                <wp:lineTo x="21534" y="21395"/>
                <wp:lineTo x="21534" y="0"/>
                <wp:lineTo x="0" y="0"/>
              </wp:wrapPolygon>
            </wp:wrapTight>
            <wp:docPr id="1" name="Picture 1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388" w:rsidRPr="00575523">
        <w:rPr>
          <w:rFonts w:ascii="Times New Roman" w:hAnsi="Times New Roman" w:cs="Times New Roman"/>
          <w:b/>
          <w:noProof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53F0221" wp14:editId="7A987415">
                <wp:simplePos x="0" y="0"/>
                <wp:positionH relativeFrom="page">
                  <wp:align>right</wp:align>
                </wp:positionH>
                <wp:positionV relativeFrom="margin">
                  <wp:posOffset>2895600</wp:posOffset>
                </wp:positionV>
                <wp:extent cx="3855720" cy="5433060"/>
                <wp:effectExtent l="0" t="0" r="0" b="0"/>
                <wp:wrapTight wrapText="bothSides">
                  <wp:wrapPolygon edited="0">
                    <wp:start x="0" y="0"/>
                    <wp:lineTo x="0" y="21509"/>
                    <wp:lineTo x="21451" y="21509"/>
                    <wp:lineTo x="21451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5433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2395" w14:textId="77777777" w:rsidR="00DF5388" w:rsidRPr="00DF5388" w:rsidRDefault="00DF5388" w:rsidP="00DF5388">
                            <w:pPr>
                              <w:ind w:left="720" w:hanging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31A0873" w14:textId="77777777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>Begin all meetings and important events, including meetings with children with an Acknowledgement of Country</w:t>
                            </w:r>
                          </w:p>
                          <w:p w14:paraId="252EDD17" w14:textId="77777777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 events with significant meaning, consult with Local Elders groups about a Welcome to Country </w:t>
                            </w:r>
                          </w:p>
                          <w:p w14:paraId="25140665" w14:textId="44FA2852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>Attend relevant training and gain education to feel confident in passing on knowledge about Indigenous cultures to children in a meaningful and informed way</w:t>
                            </w:r>
                          </w:p>
                          <w:p w14:paraId="5F55C68E" w14:textId="77777777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Consult with local Lands Council, Indigenous cultural centres etc. </w:t>
                            </w:r>
                          </w:p>
                          <w:p w14:paraId="200F04C8" w14:textId="2E0C8C67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Access resources from organisations such as Indigenous </w:t>
                            </w:r>
                            <w:r w:rsidR="00A8634D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>P</w:t>
                            </w: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>rofessional Support Unit (IPSU), and the Secretariat of National Aboriginal and Islander Child Care (SNAICC)</w:t>
                            </w:r>
                          </w:p>
                          <w:p w14:paraId="018330D6" w14:textId="77777777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Invite Indigenous performers and artists into the service and hold workshops for children and families </w:t>
                            </w:r>
                          </w:p>
                          <w:p w14:paraId="52695466" w14:textId="69E47198" w:rsidR="00113A9C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t>Invite Elders or community representatives into the service to share their own cultural knowledge</w:t>
                            </w: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="00DF5388"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DF5388">
                              <w:rPr>
                                <w:rFonts w:ascii="Bookman Old Style" w:hAnsi="Bookman Old Style"/>
                                <w:color w:val="FFFFFF" w:themeColor="background1"/>
                                <w:sz w:val="23"/>
                                <w:szCs w:val="23"/>
                              </w:rPr>
                              <w:t>(Bamford &amp; Maguire, 2012; Australians Together, 2020)</w:t>
                            </w:r>
                            <w:r w:rsidRPr="00DF538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113A9C" w:rsidRPr="00DF538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F0221" id="_x0000_s1028" type="#_x0000_t202" style="position:absolute;margin-left:252.4pt;margin-top:228pt;width:303.6pt;height:427.8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" fillcolor="#0070c0" stroked="f">
                <v:textbox>
                  <w:txbxContent>
                    <w:p w14:paraId="45DB2395" w14:textId="77777777" w:rsidR="00DF5388" w:rsidRPr="00DF5388" w:rsidRDefault="00DF5388" w:rsidP="00DF5388">
                      <w:pPr>
                        <w:ind w:left="720" w:hanging="360"/>
                        <w:rPr>
                          <w:color w:val="FFFFFF" w:themeColor="background1"/>
                        </w:rPr>
                      </w:pPr>
                    </w:p>
                    <w:p w14:paraId="431A0873" w14:textId="77777777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>Begin all meetings and important events, including meetings with children with an Acknowledgement of Country</w:t>
                      </w:r>
                    </w:p>
                    <w:p w14:paraId="252EDD17" w14:textId="77777777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 xml:space="preserve">For events with significant meaning, consult with Local Elders groups about a Welcome to Country </w:t>
                      </w:r>
                    </w:p>
                    <w:p w14:paraId="25140665" w14:textId="44FA2852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>Attend relevant training and gain education to feel confident in passing on knowledge about Indigenous cultures to children in a meaningful and informed way</w:t>
                      </w:r>
                    </w:p>
                    <w:p w14:paraId="5F55C68E" w14:textId="77777777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 xml:space="preserve">Consult with local Lands Council, Indigenous cultural centres etc. </w:t>
                      </w:r>
                    </w:p>
                    <w:p w14:paraId="200F04C8" w14:textId="2E0C8C67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 xml:space="preserve">Access resources from organisations such as Indigenous </w:t>
                      </w:r>
                      <w:r w:rsidR="00A8634D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>P</w:t>
                      </w: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>rofessional Support Unit (IPSU), and the Secretariat of National Aboriginal and Islander Child Care (SNAICC)</w:t>
                      </w:r>
                    </w:p>
                    <w:p w14:paraId="018330D6" w14:textId="77777777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 xml:space="preserve">Invite Indigenous performers and artists into the service and hold workshops for children and families </w:t>
                      </w:r>
                    </w:p>
                    <w:p w14:paraId="52695466" w14:textId="69E47198" w:rsidR="00113A9C" w:rsidRPr="00DF5388" w:rsidRDefault="002C45F0" w:rsidP="00DF5388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t>Invite Elders or community representatives into the service to share their own cultural knowledge</w:t>
                      </w: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="00DF5388" w:rsidRPr="00DF5388">
                        <w:rPr>
                          <w:rFonts w:ascii="Bookman Old Style" w:hAnsi="Bookman Old Style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DF5388">
                        <w:rPr>
                          <w:rFonts w:ascii="Bookman Old Style" w:hAnsi="Bookman Old Style"/>
                          <w:color w:val="FFFFFF" w:themeColor="background1"/>
                          <w:sz w:val="23"/>
                          <w:szCs w:val="23"/>
                        </w:rPr>
                        <w:t>(Bamford &amp; Maguire, 2012; Australians Together, 2020)</w:t>
                      </w:r>
                      <w:r w:rsidRPr="00DF5388">
                        <w:rPr>
                          <w:color w:val="FFFFFF" w:themeColor="background1"/>
                        </w:rPr>
                        <w:t xml:space="preserve"> </w:t>
                      </w:r>
                      <w:r w:rsidR="00113A9C" w:rsidRPr="00DF5388">
                        <w:br/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F5388" w:rsidRPr="00575523">
        <w:rPr>
          <w:rFonts w:ascii="Times New Roman" w:hAnsi="Times New Roman" w:cs="Times New Roman"/>
          <w:b/>
          <w:noProof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1B02C41" wp14:editId="208DC99A">
                <wp:simplePos x="0" y="0"/>
                <wp:positionH relativeFrom="column">
                  <wp:posOffset>-967740</wp:posOffset>
                </wp:positionH>
                <wp:positionV relativeFrom="margin">
                  <wp:posOffset>2895600</wp:posOffset>
                </wp:positionV>
                <wp:extent cx="3970020" cy="5433060"/>
                <wp:effectExtent l="0" t="0" r="0" b="0"/>
                <wp:wrapTight wrapText="bothSides">
                  <wp:wrapPolygon edited="0">
                    <wp:start x="0" y="0"/>
                    <wp:lineTo x="0" y="21509"/>
                    <wp:lineTo x="21455" y="21509"/>
                    <wp:lineTo x="21455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54330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FB6F8" w14:textId="77777777" w:rsidR="00DF5388" w:rsidRPr="00DF5388" w:rsidRDefault="00DF5388" w:rsidP="00DF5388">
                            <w:pPr>
                              <w:ind w:left="720" w:hanging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6099A04" w14:textId="6B19F150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Understand that Indigenous peoples’ are entitled to respect for their culture</w:t>
                            </w:r>
                          </w:p>
                          <w:p w14:paraId="5D4B8B9D" w14:textId="4A04EBCE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Respect the rights of Indigenous peoples’ in relation to their knowledge, ideas, cultural expression and materials, and their rights to maintain secrecy of knowledge and practices</w:t>
                            </w:r>
                          </w:p>
                          <w:p w14:paraId="39D71521" w14:textId="2F5B5EAE" w:rsidR="002C45F0" w:rsidRPr="00DF5388" w:rsidRDefault="002C45F0" w:rsidP="00DF538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When planning activities involving the production of, or a replica of Indigenous cul</w:t>
                            </w:r>
                            <w:r w:rsidR="00DF5388"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tural expression, consultation with the Traditional Owners of the land on which the service stands must occur</w:t>
                            </w:r>
                          </w:p>
                          <w:p w14:paraId="5F4C0C3B" w14:textId="7E95905D" w:rsidR="00DF5388" w:rsidRPr="00DF5388" w:rsidRDefault="00DF5388" w:rsidP="00DF538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The planned activities must not damage Indigenous cultural integrity in any way</w:t>
                            </w:r>
                          </w:p>
                          <w:p w14:paraId="5FEED63C" w14:textId="77777777" w:rsidR="00DF5388" w:rsidRPr="00DF5388" w:rsidRDefault="00DF5388" w:rsidP="00DF538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Indigenous Cultural and Intellectual Property (ICIP) rights must always be respected</w:t>
                            </w:r>
                          </w:p>
                          <w:p w14:paraId="4AD03220" w14:textId="459C27E3" w:rsidR="00DF5388" w:rsidRPr="00DF5388" w:rsidRDefault="00DF5388" w:rsidP="00DF5388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Seek to understand Indigenous culture to assist in dispelling stereotypes and myths about Indigenous peoples</w:t>
                            </w:r>
                            <w:r w:rsidRPr="00DF5388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br/>
                            </w:r>
                            <w:r w:rsidRPr="00DF5388">
                              <w:rPr>
                                <w:rFonts w:ascii="Bookman Old Style" w:hAnsi="Bookman Old Style"/>
                                <w:sz w:val="23"/>
                                <w:szCs w:val="23"/>
                              </w:rPr>
                              <w:br/>
                              <w:t>(Australian Institute of Aboriginal and Torres Strait Islander Studies [AIATSIS], 2019; Victoria State Government Education and Training, 2020)</w:t>
                            </w:r>
                          </w:p>
                          <w:p w14:paraId="5467DE0D" w14:textId="45928131" w:rsidR="004B1257" w:rsidRPr="004B1257" w:rsidRDefault="004B1257" w:rsidP="00DF5388">
                            <w:pPr>
                              <w:pStyle w:val="NoSpacing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4B15F3F" w14:textId="35535D9E" w:rsidR="00843EFD" w:rsidRPr="004B63C6" w:rsidRDefault="00843EFD" w:rsidP="00E3397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02C41" id="_x0000_s1029" type="#_x0000_t202" style="position:absolute;margin-left:-76.2pt;margin-top:228pt;width:312.6pt;height:427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" fillcolor="#ffc000" stroked="f">
                <v:textbox>
                  <w:txbxContent>
                    <w:p w14:paraId="30BFB6F8" w14:textId="77777777" w:rsidR="00DF5388" w:rsidRPr="00DF5388" w:rsidRDefault="00DF5388" w:rsidP="00DF5388">
                      <w:pPr>
                        <w:ind w:left="720" w:hanging="360"/>
                        <w:rPr>
                          <w:color w:val="FFFFFF" w:themeColor="background1"/>
                        </w:rPr>
                      </w:pPr>
                    </w:p>
                    <w:p w14:paraId="26099A04" w14:textId="6B19F150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Understand that Indigenous peoples’ are entitled to respect for their culture</w:t>
                      </w:r>
                    </w:p>
                    <w:p w14:paraId="5D4B8B9D" w14:textId="4A04EBCE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Respect the rights of Indigenous peoples’ in relation to their knowledge, ideas, cultural expression and materials, and their rights to maintain secrecy of knowledge and practices</w:t>
                      </w:r>
                    </w:p>
                    <w:p w14:paraId="39D71521" w14:textId="2F5B5EAE" w:rsidR="002C45F0" w:rsidRPr="00DF5388" w:rsidRDefault="002C45F0" w:rsidP="00DF538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When planning activities involving the production of, or a replica of Indigenous cul</w:t>
                      </w:r>
                      <w:r w:rsidR="00DF5388"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tural expression, consultation with the Traditional Owners of the land on which the service stands must occur</w:t>
                      </w:r>
                    </w:p>
                    <w:p w14:paraId="5F4C0C3B" w14:textId="7E95905D" w:rsidR="00DF5388" w:rsidRPr="00DF5388" w:rsidRDefault="00DF5388" w:rsidP="00DF538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The planned activities must not damage Indigenous cultural integrity in any way</w:t>
                      </w:r>
                    </w:p>
                    <w:p w14:paraId="5FEED63C" w14:textId="77777777" w:rsidR="00DF5388" w:rsidRPr="00DF5388" w:rsidRDefault="00DF5388" w:rsidP="00DF538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Indigenous Cultural and Intellectual Property (ICIP) rights must always be respected</w:t>
                      </w:r>
                    </w:p>
                    <w:p w14:paraId="4AD03220" w14:textId="459C27E3" w:rsidR="00DF5388" w:rsidRPr="00DF5388" w:rsidRDefault="00DF5388" w:rsidP="00DF5388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Seek to understand Indigenous culture to assist in dispelling stereotypes and myths about Indigenous peoples</w:t>
                      </w:r>
                      <w:r w:rsidRPr="00DF5388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br/>
                      </w:r>
                      <w:r w:rsidRPr="00DF5388">
                        <w:rPr>
                          <w:rFonts w:ascii="Bookman Old Style" w:hAnsi="Bookman Old Style"/>
                          <w:sz w:val="23"/>
                          <w:szCs w:val="23"/>
                        </w:rPr>
                        <w:br/>
                        <w:t>(Australian Institute of Aboriginal and Torres Strait Islander Studies [AIATSIS], 2019; Victoria State Government Education and Training, 2020)</w:t>
                      </w:r>
                    </w:p>
                    <w:p w14:paraId="5467DE0D" w14:textId="45928131" w:rsidR="004B1257" w:rsidRPr="004B1257" w:rsidRDefault="004B1257" w:rsidP="00DF5388">
                      <w:pPr>
                        <w:pStyle w:val="NoSpacing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</w:p>
                    <w:p w14:paraId="34B15F3F" w14:textId="35535D9E" w:rsidR="00843EFD" w:rsidRPr="004B63C6" w:rsidRDefault="00843EFD" w:rsidP="00E3397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DF5388" w:rsidRPr="00575523">
        <w:rPr>
          <w:rFonts w:ascii="Times New Roman" w:hAnsi="Times New Roman" w:cs="Times New Roman"/>
          <w:b/>
          <w:noProof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83D7F3" wp14:editId="3A2D2836">
                <wp:simplePos x="0" y="0"/>
                <wp:positionH relativeFrom="column">
                  <wp:posOffset>-937260</wp:posOffset>
                </wp:positionH>
                <wp:positionV relativeFrom="page">
                  <wp:posOffset>853440</wp:posOffset>
                </wp:positionV>
                <wp:extent cx="6042660" cy="86106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518" y="21027"/>
                    <wp:lineTo x="21518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8610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DE49C" w14:textId="1704A3B7" w:rsidR="00843EFD" w:rsidRPr="00DF5388" w:rsidRDefault="00843EFD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35"/>
                                <w:szCs w:val="35"/>
                              </w:rPr>
                            </w:pPr>
                            <w:r w:rsidRPr="00DF5388">
                              <w:rPr>
                                <w:rFonts w:ascii="Bookman Old Style" w:hAnsi="Bookman Old Style"/>
                                <w:b/>
                                <w:bCs/>
                                <w:sz w:val="35"/>
                                <w:szCs w:val="35"/>
                              </w:rPr>
                              <w:t>Guidelines for</w:t>
                            </w:r>
                            <w:r w:rsidR="007422F0" w:rsidRPr="00DF5388">
                              <w:rPr>
                                <w:rFonts w:ascii="Bookman Old Style" w:hAnsi="Bookman Old Style"/>
                                <w:b/>
                                <w:bCs/>
                                <w:sz w:val="35"/>
                                <w:szCs w:val="35"/>
                              </w:rPr>
                              <w:t xml:space="preserve"> embedding Indigenous perspectives in early childhood</w:t>
                            </w:r>
                            <w:r w:rsidR="004B1257" w:rsidRPr="00DF5388">
                              <w:rPr>
                                <w:rFonts w:ascii="Bookman Old Style" w:hAnsi="Bookman Old Style"/>
                                <w:b/>
                                <w:bCs/>
                                <w:sz w:val="35"/>
                                <w:szCs w:val="35"/>
                              </w:rPr>
                              <w:t xml:space="preserve"> services</w:t>
                            </w:r>
                            <w:r w:rsidRPr="00DF5388">
                              <w:rPr>
                                <w:rFonts w:ascii="Bookman Old Style" w:hAnsi="Bookman Old Style"/>
                                <w:b/>
                                <w:bCs/>
                                <w:sz w:val="35"/>
                                <w:szCs w:val="35"/>
                              </w:rPr>
                              <w:t xml:space="preserve"> –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D7F3" id="_x0000_s1029" type="#_x0000_t202" style="position:absolute;margin-left:-73.8pt;margin-top:67.2pt;width:475.8pt;height:67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" fillcolor="#ffc000" stroked="f">
                <v:textbox>
                  <w:txbxContent>
                    <w:p w14:paraId="07FDE49C" w14:textId="1704A3B7" w:rsidR="00843EFD" w:rsidRPr="00DF5388" w:rsidRDefault="00843EFD">
                      <w:pPr>
                        <w:rPr>
                          <w:rFonts w:ascii="Bookman Old Style" w:hAnsi="Bookman Old Style"/>
                          <w:b/>
                          <w:bCs/>
                          <w:sz w:val="35"/>
                          <w:szCs w:val="35"/>
                        </w:rPr>
                      </w:pPr>
                      <w:r w:rsidRPr="00DF5388">
                        <w:rPr>
                          <w:rFonts w:ascii="Bookman Old Style" w:hAnsi="Bookman Old Style"/>
                          <w:b/>
                          <w:bCs/>
                          <w:sz w:val="35"/>
                          <w:szCs w:val="35"/>
                        </w:rPr>
                        <w:t>Guidelines for</w:t>
                      </w:r>
                      <w:r w:rsidR="007422F0" w:rsidRPr="00DF5388">
                        <w:rPr>
                          <w:rFonts w:ascii="Bookman Old Style" w:hAnsi="Bookman Old Style"/>
                          <w:b/>
                          <w:bCs/>
                          <w:sz w:val="35"/>
                          <w:szCs w:val="35"/>
                        </w:rPr>
                        <w:t xml:space="preserve"> embedding Indigenous perspectives in early childhood</w:t>
                      </w:r>
                      <w:r w:rsidR="004B1257" w:rsidRPr="00DF5388">
                        <w:rPr>
                          <w:rFonts w:ascii="Bookman Old Style" w:hAnsi="Bookman Old Style"/>
                          <w:b/>
                          <w:bCs/>
                          <w:sz w:val="35"/>
                          <w:szCs w:val="35"/>
                        </w:rPr>
                        <w:t xml:space="preserve"> services</w:t>
                      </w:r>
                      <w:r w:rsidRPr="00DF5388">
                        <w:rPr>
                          <w:rFonts w:ascii="Bookman Old Style" w:hAnsi="Bookman Old Style"/>
                          <w:b/>
                          <w:bCs/>
                          <w:sz w:val="35"/>
                          <w:szCs w:val="35"/>
                        </w:rPr>
                        <w:t xml:space="preserve"> – 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DF5388" w:rsidRPr="008A773D">
        <w:rPr>
          <w:rFonts w:ascii="Times New Roman" w:hAnsi="Times New Roman" w:cs="Times New Roman"/>
          <w:b/>
          <w:noProof/>
          <w:sz w:val="32"/>
          <w:szCs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E7D822" wp14:editId="25330E8E">
                <wp:simplePos x="0" y="0"/>
                <wp:positionH relativeFrom="column">
                  <wp:posOffset>-815340</wp:posOffset>
                </wp:positionH>
                <wp:positionV relativeFrom="paragraph">
                  <wp:posOffset>883920</wp:posOffset>
                </wp:positionV>
                <wp:extent cx="3710940" cy="19507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95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EAB39" w14:textId="1C5B6CF6" w:rsidR="00843EFD" w:rsidRPr="00DF5388" w:rsidRDefault="007422F0" w:rsidP="0055512D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Indigenous culture is highly valued and significant in Australia, and so it is important that educators help children understand the history, culture and lives of the Indigenous community. </w:t>
                            </w:r>
                            <w:r w:rsidR="0055512D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This resource provides</w:t>
                            </w:r>
                            <w:r w:rsidR="00C2271A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3C6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information and guidelines</w:t>
                            </w:r>
                            <w:r w:rsidR="0055512D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that should be considered when sharing and </w:t>
                            </w:r>
                            <w:r w:rsidR="00A8634D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="0055512D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>mbedding Indigenous culture</w:t>
                            </w:r>
                            <w:r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perspectives</w:t>
                            </w:r>
                            <w:r w:rsidR="0055512D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within programming and planning</w:t>
                            </w:r>
                            <w:r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in early childhood</w:t>
                            </w:r>
                            <w:r w:rsidR="0055512D" w:rsidRPr="00DF5388">
                              <w:rPr>
                                <w:rFonts w:ascii="Bookman Old Style" w:hAnsi="Bookman Old Style" w:cs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D822" id="_x0000_s1031" type="#_x0000_t202" style="position:absolute;margin-left:-64.2pt;margin-top:69.6pt;width:292.2pt;height:15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" filled="f" stroked="f">
                <v:textbox>
                  <w:txbxContent>
                    <w:p w14:paraId="5FAEAB39" w14:textId="1C5B6CF6" w:rsidR="00843EFD" w:rsidRPr="00DF5388" w:rsidRDefault="007422F0" w:rsidP="0055512D">
                      <w:pPr>
                        <w:jc w:val="center"/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Indigenous culture is highly valued and significant in Australia, and so it is important that educators help children understand the history, culture and lives of the Indigenous community. </w:t>
                      </w:r>
                      <w:r w:rsidR="0055512D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>This resource provides</w:t>
                      </w:r>
                      <w:r w:rsidR="00C2271A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4B63C6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>information and guidelines</w:t>
                      </w:r>
                      <w:r w:rsidR="0055512D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 that should be considered when sharing and </w:t>
                      </w:r>
                      <w:r w:rsidR="00A8634D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="0055512D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>mbedding Indigenous culture</w:t>
                      </w:r>
                      <w:r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 and perspectives</w:t>
                      </w:r>
                      <w:r w:rsidR="0055512D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 within programming and planning</w:t>
                      </w:r>
                      <w:r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 in early childhood</w:t>
                      </w:r>
                      <w:r w:rsidR="0055512D" w:rsidRPr="00DF5388">
                        <w:rPr>
                          <w:rFonts w:ascii="Bookman Old Style" w:hAnsi="Bookman Old Style" w:cstheme="minorHAnsi"/>
                          <w:i/>
                          <w:i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22D3">
        <w:rPr>
          <w:noProof/>
        </w:rPr>
        <w:drawing>
          <wp:anchor distT="0" distB="0" distL="114300" distR="114300" simplePos="0" relativeHeight="251667456" behindDoc="1" locked="0" layoutInCell="1" allowOverlap="1" wp14:anchorId="03D1FF6B" wp14:editId="57A4A89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62940" cy="812165"/>
            <wp:effectExtent l="0" t="0" r="9525" b="6985"/>
            <wp:wrapTight wrapText="bothSides">
              <wp:wrapPolygon edited="0">
                <wp:start x="0" y="0"/>
                <wp:lineTo x="0" y="21279"/>
                <wp:lineTo x="21573" y="21279"/>
                <wp:lineTo x="2157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6" t="16968" r="22178" b="70604"/>
                    <a:stretch/>
                  </pic:blipFill>
                  <pic:spPr bwMode="auto">
                    <a:xfrm flipV="1">
                      <a:off x="0" y="0"/>
                      <a:ext cx="7762940" cy="81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A5A">
        <w:rPr>
          <w:noProof/>
        </w:rPr>
        <w:drawing>
          <wp:anchor distT="0" distB="0" distL="114300" distR="114300" simplePos="0" relativeHeight="251664384" behindDoc="1" locked="0" layoutInCell="1" allowOverlap="1" wp14:anchorId="03496937" wp14:editId="36A40B0D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764780" cy="911441"/>
            <wp:effectExtent l="0" t="0" r="7620" b="3175"/>
            <wp:wrapTight wrapText="bothSides">
              <wp:wrapPolygon edited="0">
                <wp:start x="0" y="0"/>
                <wp:lineTo x="0" y="21224"/>
                <wp:lineTo x="21568" y="21224"/>
                <wp:lineTo x="215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26" t="16968" r="22178" b="70604"/>
                    <a:stretch/>
                  </pic:blipFill>
                  <pic:spPr bwMode="auto">
                    <a:xfrm>
                      <a:off x="0" y="0"/>
                      <a:ext cx="7764780" cy="911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A35EE" w:rsidRPr="007C60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EF8A" w14:textId="77777777" w:rsidR="0070253A" w:rsidRDefault="0070253A">
      <w:pPr>
        <w:spacing w:after="0" w:line="240" w:lineRule="auto"/>
      </w:pPr>
      <w:r>
        <w:separator/>
      </w:r>
    </w:p>
  </w:endnote>
  <w:endnote w:type="continuationSeparator" w:id="0">
    <w:p w14:paraId="5A66104C" w14:textId="77777777" w:rsidR="0070253A" w:rsidRDefault="0070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89663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06437" w14:textId="005C22C2" w:rsidR="00AE183F" w:rsidRDefault="00AE183F">
            <w:pPr>
              <w:pStyle w:val="Footer"/>
              <w:jc w:val="center"/>
            </w:pPr>
            <w:r w:rsidRPr="00AE183F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E18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E183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E18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AE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BC9249" w14:textId="77777777" w:rsidR="00843EFD" w:rsidRDefault="00843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C9CA8" w14:textId="77777777" w:rsidR="0070253A" w:rsidRDefault="0070253A">
      <w:pPr>
        <w:spacing w:after="0" w:line="240" w:lineRule="auto"/>
      </w:pPr>
      <w:r>
        <w:separator/>
      </w:r>
    </w:p>
  </w:footnote>
  <w:footnote w:type="continuationSeparator" w:id="0">
    <w:p w14:paraId="01757E06" w14:textId="77777777" w:rsidR="0070253A" w:rsidRDefault="0070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57D"/>
    <w:multiLevelType w:val="multilevel"/>
    <w:tmpl w:val="E606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A50E9"/>
    <w:multiLevelType w:val="hybridMultilevel"/>
    <w:tmpl w:val="924AC0B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291"/>
    <w:multiLevelType w:val="hybridMultilevel"/>
    <w:tmpl w:val="59BE4E4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7617E"/>
    <w:multiLevelType w:val="hybridMultilevel"/>
    <w:tmpl w:val="3454F4C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6AC"/>
    <w:multiLevelType w:val="multilevel"/>
    <w:tmpl w:val="EBDC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AE2072"/>
    <w:multiLevelType w:val="multilevel"/>
    <w:tmpl w:val="EA9A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814E5"/>
    <w:multiLevelType w:val="hybridMultilevel"/>
    <w:tmpl w:val="EC4EFEF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1327"/>
    <w:multiLevelType w:val="hybridMultilevel"/>
    <w:tmpl w:val="DF8CC1B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40A79"/>
    <w:multiLevelType w:val="hybridMultilevel"/>
    <w:tmpl w:val="D44E42C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A4FE1"/>
    <w:multiLevelType w:val="hybridMultilevel"/>
    <w:tmpl w:val="73064A9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457B7"/>
    <w:multiLevelType w:val="multilevel"/>
    <w:tmpl w:val="C0A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70422"/>
    <w:multiLevelType w:val="hybridMultilevel"/>
    <w:tmpl w:val="62A27D50"/>
    <w:lvl w:ilvl="0" w:tplc="DDEE813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D7080"/>
    <w:multiLevelType w:val="hybridMultilevel"/>
    <w:tmpl w:val="61009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70C06"/>
    <w:multiLevelType w:val="hybridMultilevel"/>
    <w:tmpl w:val="0162729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028FD"/>
    <w:multiLevelType w:val="hybridMultilevel"/>
    <w:tmpl w:val="E4D20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A39FF"/>
    <w:multiLevelType w:val="multilevel"/>
    <w:tmpl w:val="4796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1D7507"/>
    <w:multiLevelType w:val="hybridMultilevel"/>
    <w:tmpl w:val="B21A3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23B2C"/>
    <w:multiLevelType w:val="hybridMultilevel"/>
    <w:tmpl w:val="A794859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7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12"/>
  </w:num>
  <w:num w:numId="13">
    <w:abstractNumId w:val="0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F5"/>
    <w:rsid w:val="00000ED9"/>
    <w:rsid w:val="000227D5"/>
    <w:rsid w:val="00066C46"/>
    <w:rsid w:val="000F2DE7"/>
    <w:rsid w:val="00113A9C"/>
    <w:rsid w:val="00155FC8"/>
    <w:rsid w:val="001757C5"/>
    <w:rsid w:val="001B1D74"/>
    <w:rsid w:val="001D1573"/>
    <w:rsid w:val="001E698C"/>
    <w:rsid w:val="002B0DF5"/>
    <w:rsid w:val="002C1949"/>
    <w:rsid w:val="002C3908"/>
    <w:rsid w:val="002C45F0"/>
    <w:rsid w:val="00323CB4"/>
    <w:rsid w:val="00407F0E"/>
    <w:rsid w:val="00496E10"/>
    <w:rsid w:val="004B1257"/>
    <w:rsid w:val="004B5ECA"/>
    <w:rsid w:val="004B63C6"/>
    <w:rsid w:val="00502B6D"/>
    <w:rsid w:val="0055512D"/>
    <w:rsid w:val="00575523"/>
    <w:rsid w:val="00642EDA"/>
    <w:rsid w:val="00646510"/>
    <w:rsid w:val="006A35EE"/>
    <w:rsid w:val="0070253A"/>
    <w:rsid w:val="00730C5C"/>
    <w:rsid w:val="007422F0"/>
    <w:rsid w:val="00757D8E"/>
    <w:rsid w:val="007C607F"/>
    <w:rsid w:val="007E0C13"/>
    <w:rsid w:val="00843EFD"/>
    <w:rsid w:val="008A773D"/>
    <w:rsid w:val="009326EE"/>
    <w:rsid w:val="00952C55"/>
    <w:rsid w:val="00957F82"/>
    <w:rsid w:val="009A487A"/>
    <w:rsid w:val="009D4BF3"/>
    <w:rsid w:val="00A478F9"/>
    <w:rsid w:val="00A55A9F"/>
    <w:rsid w:val="00A8634D"/>
    <w:rsid w:val="00A86DAE"/>
    <w:rsid w:val="00AA0CE6"/>
    <w:rsid w:val="00AE183F"/>
    <w:rsid w:val="00B322E3"/>
    <w:rsid w:val="00B903A7"/>
    <w:rsid w:val="00BB1AD4"/>
    <w:rsid w:val="00BB29EA"/>
    <w:rsid w:val="00BC4F19"/>
    <w:rsid w:val="00BD5214"/>
    <w:rsid w:val="00C2271A"/>
    <w:rsid w:val="00C60B1B"/>
    <w:rsid w:val="00C62AD4"/>
    <w:rsid w:val="00C73629"/>
    <w:rsid w:val="00CF7F4F"/>
    <w:rsid w:val="00D122D3"/>
    <w:rsid w:val="00D42E91"/>
    <w:rsid w:val="00D506FF"/>
    <w:rsid w:val="00DD17A4"/>
    <w:rsid w:val="00DD56D5"/>
    <w:rsid w:val="00DF5388"/>
    <w:rsid w:val="00DF72C2"/>
    <w:rsid w:val="00E20DC9"/>
    <w:rsid w:val="00E33972"/>
    <w:rsid w:val="00E46447"/>
    <w:rsid w:val="00E55A5A"/>
    <w:rsid w:val="00E73E42"/>
    <w:rsid w:val="00EF5F46"/>
    <w:rsid w:val="00F86D20"/>
    <w:rsid w:val="00FB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B44A"/>
  <w15:chartTrackingRefBased/>
  <w15:docId w15:val="{59FA6065-5976-4977-8C97-7152F8C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FC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5A5A"/>
    <w:pPr>
      <w:spacing w:after="400" w:line="240" w:lineRule="auto"/>
      <w:outlineLvl w:val="0"/>
    </w:pPr>
    <w:rPr>
      <w:rFonts w:asciiTheme="majorHAnsi" w:eastAsiaTheme="majorEastAsia" w:hAnsiTheme="majorHAnsi" w:cstheme="majorBidi"/>
      <w:caps/>
      <w:color w:val="FFC000" w:themeColor="accent4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E55A5A"/>
    <w:pPr>
      <w:jc w:val="center"/>
      <w:outlineLvl w:val="1"/>
    </w:pPr>
    <w:rPr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5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FC8"/>
    <w:rPr>
      <w:lang w:val="en-US"/>
    </w:rPr>
  </w:style>
  <w:style w:type="paragraph" w:styleId="NoSpacing">
    <w:name w:val="No Spacing"/>
    <w:aliases w:val="Information"/>
    <w:link w:val="NoSpacingChar"/>
    <w:uiPriority w:val="1"/>
    <w:qFormat/>
    <w:rsid w:val="00155FC8"/>
    <w:pPr>
      <w:spacing w:after="0" w:line="240" w:lineRule="auto"/>
    </w:pPr>
    <w:rPr>
      <w:lang w:val="en-US"/>
    </w:rPr>
  </w:style>
  <w:style w:type="character" w:customStyle="1" w:styleId="NoSpacingChar">
    <w:name w:val="No Spacing Char"/>
    <w:aliases w:val="Information Char"/>
    <w:basedOn w:val="DefaultParagraphFont"/>
    <w:link w:val="NoSpacing"/>
    <w:uiPriority w:val="1"/>
    <w:rsid w:val="00155FC8"/>
    <w:rPr>
      <w:lang w:val="en-US"/>
    </w:rPr>
  </w:style>
  <w:style w:type="character" w:styleId="Strong">
    <w:name w:val="Strong"/>
    <w:basedOn w:val="DefaultParagraphFont"/>
    <w:uiPriority w:val="22"/>
    <w:qFormat/>
    <w:rsid w:val="00155FC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55A5A"/>
    <w:rPr>
      <w:rFonts w:asciiTheme="majorHAnsi" w:eastAsiaTheme="majorEastAsia" w:hAnsiTheme="majorHAnsi" w:cstheme="majorBidi"/>
      <w:caps/>
      <w:color w:val="FFC000" w:themeColor="accent4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5A5A"/>
    <w:rPr>
      <w:rFonts w:asciiTheme="majorHAnsi" w:eastAsiaTheme="majorEastAsia" w:hAnsiTheme="majorHAnsi" w:cstheme="majorBidi"/>
      <w:caps/>
      <w:color w:val="FFC000" w:themeColor="accent4"/>
      <w:sz w:val="32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2"/>
    <w:qFormat/>
    <w:rsid w:val="00E55A5A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2"/>
    <w:rsid w:val="00E55A5A"/>
    <w:rPr>
      <w:rFonts w:asciiTheme="majorHAnsi" w:eastAsiaTheme="majorEastAsia" w:hAnsiTheme="majorHAnsi" w:cstheme="majorBidi"/>
      <w:b/>
      <w:caps/>
      <w:color w:val="4472C4" w:themeColor="accent1"/>
      <w:kern w:val="28"/>
      <w:sz w:val="7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A5A"/>
    <w:pPr>
      <w:numPr>
        <w:ilvl w:val="1"/>
      </w:numPr>
      <w:spacing w:after="240" w:line="240" w:lineRule="auto"/>
    </w:pPr>
    <w:rPr>
      <w:rFonts w:eastAsiaTheme="minorEastAsia"/>
      <w:cap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E55A5A"/>
    <w:rPr>
      <w:rFonts w:eastAsiaTheme="minorEastAsia"/>
      <w:caps/>
      <w:color w:val="FFFFFF" w:themeColor="background1"/>
      <w:lang w:val="en-US"/>
    </w:rPr>
  </w:style>
  <w:style w:type="character" w:styleId="PlaceholderText">
    <w:name w:val="Placeholder Text"/>
    <w:basedOn w:val="DefaultParagraphFont"/>
    <w:uiPriority w:val="99"/>
    <w:semiHidden/>
    <w:rsid w:val="00E55A5A"/>
    <w:rPr>
      <w:color w:val="808080"/>
    </w:rPr>
  </w:style>
  <w:style w:type="paragraph" w:customStyle="1" w:styleId="Contact">
    <w:name w:val="Contact"/>
    <w:basedOn w:val="Normal"/>
    <w:link w:val="ContactChar"/>
    <w:uiPriority w:val="10"/>
    <w:qFormat/>
    <w:rsid w:val="00E55A5A"/>
    <w:pPr>
      <w:spacing w:after="800" w:line="240" w:lineRule="auto"/>
      <w:contextualSpacing/>
      <w:jc w:val="center"/>
    </w:pPr>
    <w:rPr>
      <w:rFonts w:cs="Times New Roman"/>
      <w:color w:val="FFFFFF" w:themeColor="background1"/>
      <w:szCs w:val="18"/>
    </w:rPr>
  </w:style>
  <w:style w:type="character" w:customStyle="1" w:styleId="ContactChar">
    <w:name w:val="Contact Char"/>
    <w:basedOn w:val="DefaultParagraphFont"/>
    <w:link w:val="Contact"/>
    <w:uiPriority w:val="10"/>
    <w:rsid w:val="00E55A5A"/>
    <w:rPr>
      <w:rFonts w:cs="Times New Roman"/>
      <w:color w:val="FFFFFF" w:themeColor="background1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66C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7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7F4F"/>
    <w:pPr>
      <w:ind w:left="720"/>
      <w:contextualSpacing/>
    </w:pPr>
  </w:style>
  <w:style w:type="paragraph" w:customStyle="1" w:styleId="mv-element-p">
    <w:name w:val="mv-element-p"/>
    <w:basedOn w:val="Normal"/>
    <w:rsid w:val="00C2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C22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E1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83F"/>
  </w:style>
  <w:style w:type="character" w:styleId="Emphasis">
    <w:name w:val="Emphasis"/>
    <w:basedOn w:val="DefaultParagraphFont"/>
    <w:uiPriority w:val="20"/>
    <w:qFormat/>
    <w:rsid w:val="00A478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McEwan</dc:creator>
  <cp:keywords/>
  <dc:description/>
  <cp:lastModifiedBy>Nikki Andersen</cp:lastModifiedBy>
  <cp:revision>2</cp:revision>
  <dcterms:created xsi:type="dcterms:W3CDTF">2021-05-17T01:16:00Z</dcterms:created>
  <dcterms:modified xsi:type="dcterms:W3CDTF">2021-05-17T01:16:00Z</dcterms:modified>
</cp:coreProperties>
</file>